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6D" w:rsidRPr="00114CA4" w:rsidRDefault="00E4076D" w:rsidP="00E4076D">
      <w:pPr>
        <w:jc w:val="center"/>
        <w:rPr>
          <w:b/>
          <w:bCs/>
          <w:sz w:val="28"/>
          <w:szCs w:val="28"/>
          <w:u w:val="single"/>
          <w:lang w:val="de-DE"/>
        </w:rPr>
      </w:pPr>
      <w:r w:rsidRPr="00114CA4">
        <w:rPr>
          <w:b/>
          <w:bCs/>
          <w:sz w:val="28"/>
          <w:szCs w:val="28"/>
          <w:u w:val="single"/>
          <w:lang w:val="de-DE"/>
        </w:rPr>
        <w:t>Geplante Änderungen des Meldesystems für Suchtmittelnachweisungen</w:t>
      </w:r>
    </w:p>
    <w:p w:rsidR="00E4076D" w:rsidRDefault="00E4076D" w:rsidP="00E4076D">
      <w:pPr>
        <w:jc w:val="center"/>
        <w:rPr>
          <w:b/>
          <w:bCs/>
          <w:lang w:val="de-DE"/>
        </w:rPr>
      </w:pPr>
      <w:r w:rsidRPr="00E4076D">
        <w:rPr>
          <w:b/>
          <w:bCs/>
          <w:lang w:val="de-DE"/>
        </w:rPr>
        <w:t xml:space="preserve">§ 10 Suchtgift-Verordnung, </w:t>
      </w:r>
      <w:hyperlink r:id="rId6" w:tgtFrame="_blank" w:history="1">
        <w:r w:rsidRPr="00E4076D">
          <w:rPr>
            <w:b/>
            <w:bCs/>
            <w:lang w:val="de-DE"/>
          </w:rPr>
          <w:t>BGBl. II Nr. 374/1997</w:t>
        </w:r>
      </w:hyperlink>
      <w:r w:rsidRPr="00E4076D">
        <w:rPr>
          <w:b/>
          <w:bCs/>
          <w:lang w:val="de-DE"/>
        </w:rPr>
        <w:t xml:space="preserve">, </w:t>
      </w:r>
      <w:proofErr w:type="spellStart"/>
      <w:r w:rsidRPr="00E4076D">
        <w:rPr>
          <w:b/>
          <w:bCs/>
          <w:lang w:val="de-DE"/>
        </w:rPr>
        <w:t>idgF</w:t>
      </w:r>
      <w:proofErr w:type="spellEnd"/>
      <w:r w:rsidRPr="00E4076D">
        <w:rPr>
          <w:b/>
          <w:bCs/>
          <w:lang w:val="de-DE"/>
        </w:rPr>
        <w:t xml:space="preserve">. </w:t>
      </w:r>
      <w:r>
        <w:rPr>
          <w:b/>
          <w:bCs/>
          <w:lang w:val="de-DE"/>
        </w:rPr>
        <w:br/>
      </w:r>
      <w:r w:rsidRPr="00E4076D">
        <w:rPr>
          <w:b/>
          <w:bCs/>
          <w:lang w:val="de-DE"/>
        </w:rPr>
        <w:t xml:space="preserve">§ 9 Psychotropen-Verordnung, </w:t>
      </w:r>
      <w:hyperlink r:id="rId7" w:tgtFrame="_blank" w:history="1">
        <w:r w:rsidRPr="00E4076D">
          <w:rPr>
            <w:b/>
            <w:bCs/>
            <w:lang w:val="de-DE"/>
          </w:rPr>
          <w:t>BGBl. II Nr. 375/1997</w:t>
        </w:r>
      </w:hyperlink>
      <w:r w:rsidRPr="00E4076D">
        <w:rPr>
          <w:b/>
          <w:bCs/>
          <w:lang w:val="de-DE"/>
        </w:rPr>
        <w:t xml:space="preserve">, </w:t>
      </w:r>
      <w:proofErr w:type="spellStart"/>
      <w:r w:rsidRPr="00E4076D">
        <w:rPr>
          <w:b/>
          <w:bCs/>
          <w:lang w:val="de-DE"/>
        </w:rPr>
        <w:t>idgF</w:t>
      </w:r>
      <w:proofErr w:type="spellEnd"/>
      <w:r w:rsidRPr="00E4076D">
        <w:rPr>
          <w:b/>
          <w:bCs/>
          <w:lang w:val="de-DE"/>
        </w:rPr>
        <w:t>.</w:t>
      </w:r>
    </w:p>
    <w:p w:rsidR="00C82D01" w:rsidRPr="00172FB7" w:rsidRDefault="00172FB7" w:rsidP="00E4076D">
      <w:pPr>
        <w:jc w:val="center"/>
        <w:rPr>
          <w:b/>
          <w:bCs/>
          <w:color w:val="FF0000"/>
          <w:lang w:val="de-DE"/>
        </w:rPr>
      </w:pPr>
      <w:r w:rsidRPr="00172FB7">
        <w:rPr>
          <w:b/>
          <w:bCs/>
          <w:color w:val="FF0000"/>
          <w:lang w:val="de-DE"/>
        </w:rPr>
        <w:t xml:space="preserve">Stand: </w:t>
      </w:r>
      <w:r w:rsidR="00DB231A">
        <w:rPr>
          <w:b/>
          <w:bCs/>
          <w:color w:val="FF0000"/>
          <w:lang w:val="de-DE"/>
        </w:rPr>
        <w:t>5. Dezember</w:t>
      </w:r>
      <w:r w:rsidR="00F70144">
        <w:rPr>
          <w:b/>
          <w:bCs/>
          <w:color w:val="FF0000"/>
          <w:lang w:val="de-DE"/>
        </w:rPr>
        <w:t xml:space="preserve"> 2018</w:t>
      </w:r>
    </w:p>
    <w:p w:rsidR="00ED6352" w:rsidRPr="00ED6352" w:rsidRDefault="0050638E" w:rsidP="0050638E">
      <w:pPr>
        <w:rPr>
          <w:bCs/>
          <w:i/>
          <w:color w:val="FF0000"/>
          <w:lang w:val="de-DE"/>
        </w:rPr>
      </w:pPr>
      <w:r w:rsidRPr="0050638E">
        <w:rPr>
          <w:bCs/>
          <w:lang w:val="de-DE"/>
        </w:rPr>
        <w:t>Das vorliegende Dokument beschreibt die geplanten Änderungen für die Übermittlung der Suchtmittel-Nachweisu</w:t>
      </w:r>
      <w:r>
        <w:rPr>
          <w:bCs/>
          <w:lang w:val="de-DE"/>
        </w:rPr>
        <w:t>ngen gemäß</w:t>
      </w:r>
      <w:r w:rsidR="00ED6352">
        <w:rPr>
          <w:bCs/>
          <w:lang w:val="de-DE"/>
        </w:rPr>
        <w:t xml:space="preserve"> § 10 SV bzw. § 9 PV. </w:t>
      </w:r>
      <w:r w:rsidR="0005296A" w:rsidRPr="009668BA">
        <w:rPr>
          <w:b/>
          <w:i/>
          <w:color w:val="FF0000"/>
          <w:lang w:val="de-DE"/>
        </w:rPr>
        <w:t xml:space="preserve">Nachfolgend ist der </w:t>
      </w:r>
      <w:r w:rsidR="00344D93">
        <w:rPr>
          <w:b/>
          <w:i/>
          <w:color w:val="FF0000"/>
          <w:lang w:val="de-DE"/>
        </w:rPr>
        <w:t xml:space="preserve">Stand bzw. der </w:t>
      </w:r>
      <w:r w:rsidR="0005296A" w:rsidRPr="009668BA">
        <w:rPr>
          <w:b/>
          <w:i/>
          <w:color w:val="FF0000"/>
          <w:lang w:val="de-DE"/>
        </w:rPr>
        <w:t>geplante Zeitraum fü</w:t>
      </w:r>
      <w:r w:rsidR="005B6B2C">
        <w:rPr>
          <w:b/>
          <w:i/>
          <w:color w:val="FF0000"/>
          <w:lang w:val="de-DE"/>
        </w:rPr>
        <w:t>r die Umsetzung der Änderungen (</w:t>
      </w:r>
      <w:r w:rsidR="0005296A" w:rsidRPr="009668BA">
        <w:rPr>
          <w:b/>
          <w:i/>
          <w:color w:val="FF0000"/>
          <w:lang w:val="de-DE"/>
        </w:rPr>
        <w:t xml:space="preserve">Berichtsjahr 2018 = </w:t>
      </w:r>
      <w:r w:rsidR="00ED6352" w:rsidRPr="009668BA">
        <w:rPr>
          <w:b/>
          <w:i/>
          <w:color w:val="FF0000"/>
          <w:lang w:val="de-DE"/>
        </w:rPr>
        <w:t xml:space="preserve"> Frist für die Abgabe der Nachweismeldungen 31.1.2019)</w:t>
      </w:r>
      <w:r w:rsidR="005B6B2C">
        <w:rPr>
          <w:b/>
          <w:i/>
          <w:color w:val="FF0000"/>
          <w:lang w:val="de-DE"/>
        </w:rPr>
        <w:t xml:space="preserve"> angeführt. </w:t>
      </w:r>
    </w:p>
    <w:p w:rsidR="0050638E" w:rsidRPr="00865B81" w:rsidRDefault="0050638E" w:rsidP="0050638E">
      <w:pPr>
        <w:rPr>
          <w:bCs/>
          <w:u w:val="single"/>
          <w:lang w:val="de-DE"/>
        </w:rPr>
      </w:pPr>
      <w:r w:rsidRPr="00865B81">
        <w:rPr>
          <w:bCs/>
          <w:u w:val="single"/>
          <w:lang w:val="de-DE"/>
        </w:rPr>
        <w:t>Zusammenfassung:</w:t>
      </w:r>
    </w:p>
    <w:p w:rsidR="00114CA4" w:rsidRPr="0050638E" w:rsidRDefault="0050638E" w:rsidP="0050638E">
      <w:pPr>
        <w:pStyle w:val="Listenabsatz"/>
        <w:numPr>
          <w:ilvl w:val="0"/>
          <w:numId w:val="6"/>
        </w:numPr>
        <w:rPr>
          <w:bCs/>
          <w:lang w:val="de-DE"/>
        </w:rPr>
      </w:pPr>
      <w:r w:rsidRPr="0050638E">
        <w:rPr>
          <w:bCs/>
          <w:lang w:val="de-DE"/>
        </w:rPr>
        <w:t>Das p</w:t>
      </w:r>
      <w:r w:rsidR="00114CA4" w:rsidRPr="0050638E">
        <w:rPr>
          <w:bCs/>
          <w:lang w:val="de-DE"/>
        </w:rPr>
        <w:t xml:space="preserve">rinzipielle Meldeformat wird beibehalten (Meldung im </w:t>
      </w:r>
      <w:proofErr w:type="spellStart"/>
      <w:r w:rsidR="00114CA4" w:rsidRPr="0050638E">
        <w:rPr>
          <w:bCs/>
          <w:lang w:val="de-DE"/>
        </w:rPr>
        <w:t>Excelformular</w:t>
      </w:r>
      <w:proofErr w:type="spellEnd"/>
      <w:r w:rsidRPr="0050638E">
        <w:rPr>
          <w:bCs/>
          <w:lang w:val="de-DE"/>
        </w:rPr>
        <w:t xml:space="preserve"> mit den bekannten Funktionen</w:t>
      </w:r>
      <w:r w:rsidR="00114CA4" w:rsidRPr="0050638E">
        <w:rPr>
          <w:bCs/>
          <w:lang w:val="de-DE"/>
        </w:rPr>
        <w:t>, Übermittlung per Email</w:t>
      </w:r>
      <w:r w:rsidRPr="0050638E">
        <w:rPr>
          <w:bCs/>
          <w:lang w:val="de-DE"/>
        </w:rPr>
        <w:t xml:space="preserve"> an </w:t>
      </w:r>
      <w:hyperlink r:id="rId8" w:history="1">
        <w:r w:rsidR="00E026D9" w:rsidRPr="006C3066">
          <w:rPr>
            <w:rStyle w:val="Hyperlink"/>
            <w:bCs/>
            <w:lang w:val="de-DE"/>
          </w:rPr>
          <w:t>suchtmittel@basg.gv.at</w:t>
        </w:r>
      </w:hyperlink>
      <w:r w:rsidR="00114CA4" w:rsidRPr="0050638E">
        <w:rPr>
          <w:bCs/>
          <w:lang w:val="de-DE"/>
        </w:rPr>
        <w:t>)</w:t>
      </w:r>
      <w:r>
        <w:rPr>
          <w:bCs/>
          <w:lang w:val="de-DE"/>
        </w:rPr>
        <w:t>.</w:t>
      </w:r>
    </w:p>
    <w:p w:rsidR="00114CA4" w:rsidRPr="0050638E" w:rsidRDefault="00114CA4" w:rsidP="0050638E">
      <w:pPr>
        <w:pStyle w:val="Listenabsatz"/>
        <w:numPr>
          <w:ilvl w:val="0"/>
          <w:numId w:val="6"/>
        </w:numPr>
        <w:rPr>
          <w:bCs/>
          <w:lang w:val="de-DE"/>
        </w:rPr>
      </w:pPr>
      <w:r w:rsidRPr="0050638E">
        <w:rPr>
          <w:bCs/>
          <w:lang w:val="de-DE"/>
        </w:rPr>
        <w:t xml:space="preserve">Derzeit ist </w:t>
      </w:r>
      <w:r w:rsidRPr="0050638E">
        <w:rPr>
          <w:bCs/>
          <w:u w:val="single"/>
          <w:lang w:val="de-DE"/>
        </w:rPr>
        <w:t>keine</w:t>
      </w:r>
      <w:r w:rsidRPr="0050638E">
        <w:rPr>
          <w:bCs/>
          <w:lang w:val="de-DE"/>
        </w:rPr>
        <w:t xml:space="preserve"> Umsetzung der Einreichung der Nachweismeldung über ein Webportal bzw. elektronische Abwicklung der Import- bzw. Exportprozesse angedacht.</w:t>
      </w:r>
    </w:p>
    <w:p w:rsidR="00114CA4" w:rsidRPr="0050638E" w:rsidRDefault="00ED6352" w:rsidP="0050638E">
      <w:pPr>
        <w:pStyle w:val="Listenabsatz"/>
        <w:numPr>
          <w:ilvl w:val="0"/>
          <w:numId w:val="6"/>
        </w:numPr>
        <w:rPr>
          <w:bCs/>
          <w:lang w:val="de-DE"/>
        </w:rPr>
      </w:pPr>
      <w:r>
        <w:rPr>
          <w:bCs/>
          <w:lang w:val="de-DE"/>
        </w:rPr>
        <w:t>Folgende</w:t>
      </w:r>
      <w:r w:rsidR="00114CA4" w:rsidRPr="0050638E">
        <w:rPr>
          <w:bCs/>
          <w:lang w:val="de-DE"/>
        </w:rPr>
        <w:t xml:space="preserve"> Änderungen </w:t>
      </w:r>
      <w:r>
        <w:rPr>
          <w:bCs/>
          <w:lang w:val="de-DE"/>
        </w:rPr>
        <w:t xml:space="preserve">sind </w:t>
      </w:r>
      <w:r w:rsidR="00114CA4" w:rsidRPr="0050638E">
        <w:rPr>
          <w:bCs/>
          <w:lang w:val="de-DE"/>
        </w:rPr>
        <w:t>geplant:</w:t>
      </w:r>
    </w:p>
    <w:p w:rsidR="00114CA4" w:rsidRPr="0050638E" w:rsidRDefault="00114CA4" w:rsidP="0050638E">
      <w:pPr>
        <w:pStyle w:val="Listenabsatz"/>
        <w:numPr>
          <w:ilvl w:val="0"/>
          <w:numId w:val="5"/>
        </w:numPr>
        <w:rPr>
          <w:bCs/>
          <w:lang w:val="de-DE"/>
        </w:rPr>
      </w:pPr>
      <w:r w:rsidRPr="0050638E">
        <w:rPr>
          <w:bCs/>
          <w:lang w:val="de-DE"/>
        </w:rPr>
        <w:t>Zusammenführung des Suchtmittel-Stammdatensatzes BM</w:t>
      </w:r>
      <w:r w:rsidR="00E026D9">
        <w:rPr>
          <w:bCs/>
          <w:lang w:val="de-DE"/>
        </w:rPr>
        <w:t>ASGK</w:t>
      </w:r>
      <w:r w:rsidRPr="0050638E">
        <w:rPr>
          <w:bCs/>
          <w:lang w:val="de-DE"/>
        </w:rPr>
        <w:t>-BASG/AGES</w:t>
      </w:r>
    </w:p>
    <w:p w:rsidR="00114CA4" w:rsidRPr="0050638E" w:rsidRDefault="00504EC7" w:rsidP="0050638E">
      <w:pPr>
        <w:pStyle w:val="Listenabsatz"/>
        <w:numPr>
          <w:ilvl w:val="0"/>
          <w:numId w:val="5"/>
        </w:numPr>
        <w:rPr>
          <w:bCs/>
          <w:lang w:val="de-DE"/>
        </w:rPr>
      </w:pPr>
      <w:r>
        <w:rPr>
          <w:bCs/>
          <w:lang w:val="de-DE"/>
        </w:rPr>
        <w:t>V</w:t>
      </w:r>
      <w:r w:rsidR="0050638E" w:rsidRPr="0050638E">
        <w:rPr>
          <w:bCs/>
          <w:lang w:val="de-DE"/>
        </w:rPr>
        <w:t xml:space="preserve">ollständige </w:t>
      </w:r>
      <w:r w:rsidR="00114CA4" w:rsidRPr="0050638E">
        <w:rPr>
          <w:bCs/>
          <w:lang w:val="de-DE"/>
        </w:rPr>
        <w:t>Katalogisierung der Stammdaten</w:t>
      </w:r>
      <w:r>
        <w:rPr>
          <w:bCs/>
          <w:lang w:val="de-DE"/>
        </w:rPr>
        <w:t xml:space="preserve">, </w:t>
      </w:r>
      <w:r w:rsidR="00865B81">
        <w:rPr>
          <w:bCs/>
          <w:lang w:val="de-DE"/>
        </w:rPr>
        <w:t>inkl</w:t>
      </w:r>
      <w:r>
        <w:rPr>
          <w:bCs/>
          <w:lang w:val="de-DE"/>
        </w:rPr>
        <w:t>. Substanzen</w:t>
      </w:r>
      <w:r w:rsidR="00865B81">
        <w:rPr>
          <w:bCs/>
          <w:lang w:val="de-DE"/>
        </w:rPr>
        <w:t xml:space="preserve"> und Apotheken</w:t>
      </w:r>
      <w:r w:rsidR="0050638E" w:rsidRPr="0050638E">
        <w:rPr>
          <w:bCs/>
          <w:lang w:val="de-DE"/>
        </w:rPr>
        <w:t>.</w:t>
      </w:r>
    </w:p>
    <w:p w:rsidR="0050638E" w:rsidRPr="0050638E" w:rsidRDefault="0050638E" w:rsidP="0050638E">
      <w:pPr>
        <w:rPr>
          <w:bCs/>
          <w:lang w:val="de-DE"/>
        </w:rPr>
      </w:pPr>
      <w:r>
        <w:rPr>
          <w:bCs/>
          <w:lang w:val="de-DE"/>
        </w:rPr>
        <w:t>Nachfolgend sind die geplanten Änderungen im Detail beschrieben:</w:t>
      </w:r>
    </w:p>
    <w:tbl>
      <w:tblPr>
        <w:tblStyle w:val="Tabellenraster"/>
        <w:tblW w:w="0" w:type="auto"/>
        <w:tblLook w:val="04A0" w:firstRow="1" w:lastRow="0" w:firstColumn="1" w:lastColumn="0" w:noHBand="0" w:noVBand="1"/>
      </w:tblPr>
      <w:tblGrid>
        <w:gridCol w:w="509"/>
        <w:gridCol w:w="1586"/>
        <w:gridCol w:w="1996"/>
        <w:gridCol w:w="3795"/>
        <w:gridCol w:w="1736"/>
      </w:tblGrid>
      <w:tr w:rsidR="002034C0" w:rsidRPr="0050638E" w:rsidTr="00F606CB">
        <w:tc>
          <w:tcPr>
            <w:tcW w:w="509" w:type="dxa"/>
          </w:tcPr>
          <w:p w:rsidR="00F606CB" w:rsidRPr="0050638E" w:rsidRDefault="00F606CB">
            <w:pPr>
              <w:rPr>
                <w:b/>
                <w:lang w:val="de-DE"/>
              </w:rPr>
            </w:pPr>
            <w:r w:rsidRPr="0050638E">
              <w:rPr>
                <w:b/>
                <w:lang w:val="de-DE"/>
              </w:rPr>
              <w:t>Nr.</w:t>
            </w:r>
          </w:p>
        </w:tc>
        <w:tc>
          <w:tcPr>
            <w:tcW w:w="1586" w:type="dxa"/>
          </w:tcPr>
          <w:p w:rsidR="00F606CB" w:rsidRPr="0050638E" w:rsidRDefault="00F606CB">
            <w:pPr>
              <w:rPr>
                <w:b/>
                <w:lang w:val="de-DE"/>
              </w:rPr>
            </w:pPr>
            <w:r w:rsidRPr="0050638E">
              <w:rPr>
                <w:b/>
                <w:lang w:val="de-DE"/>
              </w:rPr>
              <w:t>Kategorie</w:t>
            </w:r>
          </w:p>
        </w:tc>
        <w:tc>
          <w:tcPr>
            <w:tcW w:w="1996" w:type="dxa"/>
          </w:tcPr>
          <w:p w:rsidR="00F606CB" w:rsidRPr="0050638E" w:rsidRDefault="00F606CB">
            <w:pPr>
              <w:rPr>
                <w:b/>
                <w:lang w:val="de-DE"/>
              </w:rPr>
            </w:pPr>
            <w:r w:rsidRPr="0050638E">
              <w:rPr>
                <w:b/>
                <w:lang w:val="de-DE"/>
              </w:rPr>
              <w:t>Schlagwort</w:t>
            </w:r>
          </w:p>
        </w:tc>
        <w:tc>
          <w:tcPr>
            <w:tcW w:w="3795" w:type="dxa"/>
          </w:tcPr>
          <w:p w:rsidR="00F606CB" w:rsidRPr="0050638E" w:rsidRDefault="00F606CB">
            <w:pPr>
              <w:rPr>
                <w:b/>
                <w:lang w:val="de-DE"/>
              </w:rPr>
            </w:pPr>
            <w:r w:rsidRPr="0050638E">
              <w:rPr>
                <w:b/>
                <w:lang w:val="de-DE"/>
              </w:rPr>
              <w:t>Beschreibung</w:t>
            </w:r>
          </w:p>
        </w:tc>
        <w:tc>
          <w:tcPr>
            <w:tcW w:w="1736" w:type="dxa"/>
          </w:tcPr>
          <w:p w:rsidR="00F606CB" w:rsidRPr="0050638E" w:rsidRDefault="00F606CB" w:rsidP="005B6B2C">
            <w:pPr>
              <w:rPr>
                <w:b/>
                <w:lang w:val="de-DE"/>
              </w:rPr>
            </w:pPr>
            <w:r w:rsidRPr="00F606CB">
              <w:rPr>
                <w:b/>
                <w:color w:val="FF0000"/>
                <w:lang w:val="de-DE"/>
              </w:rPr>
              <w:t>Umsetzung</w:t>
            </w:r>
            <w:r>
              <w:rPr>
                <w:b/>
                <w:color w:val="FF0000"/>
                <w:lang w:val="de-DE"/>
              </w:rPr>
              <w:t xml:space="preserve"> </w:t>
            </w:r>
            <w:r w:rsidR="005B6B2C">
              <w:rPr>
                <w:b/>
                <w:color w:val="FF0000"/>
                <w:lang w:val="de-DE"/>
              </w:rPr>
              <w:t>Stand</w:t>
            </w:r>
          </w:p>
        </w:tc>
      </w:tr>
      <w:tr w:rsidR="002034C0" w:rsidRPr="002034C0" w:rsidTr="00F606CB">
        <w:tc>
          <w:tcPr>
            <w:tcW w:w="509" w:type="dxa"/>
          </w:tcPr>
          <w:p w:rsidR="00F606CB" w:rsidRDefault="00F606CB">
            <w:pPr>
              <w:rPr>
                <w:lang w:val="de-DE"/>
              </w:rPr>
            </w:pPr>
            <w:r>
              <w:rPr>
                <w:lang w:val="de-DE"/>
              </w:rPr>
              <w:t>1</w:t>
            </w:r>
          </w:p>
        </w:tc>
        <w:tc>
          <w:tcPr>
            <w:tcW w:w="1586" w:type="dxa"/>
          </w:tcPr>
          <w:p w:rsidR="00F606CB" w:rsidRDefault="00F606CB">
            <w:pPr>
              <w:rPr>
                <w:lang w:val="de-DE"/>
              </w:rPr>
            </w:pPr>
            <w:r>
              <w:rPr>
                <w:lang w:val="de-DE"/>
              </w:rPr>
              <w:t>Stammdaten</w:t>
            </w:r>
          </w:p>
        </w:tc>
        <w:tc>
          <w:tcPr>
            <w:tcW w:w="1996" w:type="dxa"/>
          </w:tcPr>
          <w:p w:rsidR="00F606CB" w:rsidRDefault="00F606CB">
            <w:pPr>
              <w:rPr>
                <w:lang w:val="de-DE"/>
              </w:rPr>
            </w:pPr>
            <w:r>
              <w:rPr>
                <w:lang w:val="de-DE"/>
              </w:rPr>
              <w:t>Harmonisierung Stammdatensatz</w:t>
            </w:r>
          </w:p>
        </w:tc>
        <w:tc>
          <w:tcPr>
            <w:tcW w:w="3795" w:type="dxa"/>
          </w:tcPr>
          <w:p w:rsidR="00F70144" w:rsidRDefault="00F606CB" w:rsidP="00F70144">
            <w:pPr>
              <w:rPr>
                <w:lang w:val="de-DE"/>
              </w:rPr>
            </w:pPr>
            <w:r>
              <w:rPr>
                <w:lang w:val="de-DE"/>
              </w:rPr>
              <w:t>Zusammenführung des Stammdatensatzes BM</w:t>
            </w:r>
            <w:r w:rsidR="00F70144">
              <w:rPr>
                <w:lang w:val="de-DE"/>
              </w:rPr>
              <w:t>ASGK</w:t>
            </w:r>
            <w:r>
              <w:rPr>
                <w:lang w:val="de-DE"/>
              </w:rPr>
              <w:t xml:space="preserve"> und BASG/AGES und Verwaltung der Stammdaten im National Drug System (NDS). Im NDS wird prinzipiell der Wirkstoffgehalt angegeben, und die Berechnung des Basengehaltes erfolgt automatisch durch die Umrechnungsfaktoren, die im System hinterlegt sind.</w:t>
            </w:r>
            <w:r w:rsidR="00F70144">
              <w:rPr>
                <w:lang w:val="de-DE"/>
              </w:rPr>
              <w:t xml:space="preserve"> </w:t>
            </w:r>
          </w:p>
          <w:p w:rsidR="00F70144" w:rsidRDefault="00F70144" w:rsidP="00F70144">
            <w:pPr>
              <w:rPr>
                <w:lang w:val="de-DE"/>
              </w:rPr>
            </w:pPr>
          </w:p>
          <w:p w:rsidR="00F70144" w:rsidRDefault="00F70144" w:rsidP="00F70144">
            <w:pPr>
              <w:rPr>
                <w:lang w:val="de-DE"/>
              </w:rPr>
            </w:pPr>
            <w:r>
              <w:rPr>
                <w:lang w:val="de-DE"/>
              </w:rPr>
              <w:t xml:space="preserve">Präparate: </w:t>
            </w:r>
          </w:p>
          <w:p w:rsidR="00F70144" w:rsidRDefault="00F70144" w:rsidP="00F70144">
            <w:pPr>
              <w:rPr>
                <w:lang w:val="de-DE"/>
              </w:rPr>
            </w:pPr>
          </w:p>
          <w:p w:rsidR="00F70144" w:rsidRDefault="00F70144" w:rsidP="00F70144">
            <w:pPr>
              <w:rPr>
                <w:lang w:val="de-DE"/>
              </w:rPr>
            </w:pPr>
            <w:r>
              <w:rPr>
                <w:lang w:val="de-DE"/>
              </w:rPr>
              <w:t>Beibehaltung des bisherigen Datensatzes (EAN Code, PZN, Bezeichnung, Packungsgröße, Wirkstoff, Wirkstoffgruppe, Basengehalt pro Einheit); Erweiterung um eine Spalte „Sonstige Artikelcodes“: hier werden alle weiteren Codes erfasst.</w:t>
            </w:r>
          </w:p>
          <w:p w:rsidR="00F70144" w:rsidRDefault="00F70144" w:rsidP="00F70144">
            <w:pPr>
              <w:rPr>
                <w:lang w:val="de-DE"/>
              </w:rPr>
            </w:pPr>
            <w:r>
              <w:rPr>
                <w:lang w:val="de-DE"/>
              </w:rPr>
              <w:t xml:space="preserve"> </w:t>
            </w:r>
          </w:p>
          <w:p w:rsidR="00F70144" w:rsidRDefault="00F70144" w:rsidP="00F70144">
            <w:pPr>
              <w:rPr>
                <w:lang w:val="de-DE"/>
              </w:rPr>
            </w:pPr>
            <w:r>
              <w:rPr>
                <w:lang w:val="de-DE"/>
              </w:rPr>
              <w:lastRenderedPageBreak/>
              <w:t>(</w:t>
            </w:r>
            <w:proofErr w:type="spellStart"/>
            <w:r>
              <w:rPr>
                <w:lang w:val="de-DE"/>
              </w:rPr>
              <w:t>zB</w:t>
            </w:r>
            <w:proofErr w:type="spellEnd"/>
            <w:r>
              <w:rPr>
                <w:lang w:val="de-DE"/>
              </w:rPr>
              <w:t xml:space="preserve"> länderspezifische Exportartikel, welche jedoch den gleichen Basengehalt aufweisen, sind derzeit in den Stammdaten des BASG einzeln angeführt, diese sollen im NDS einem Stammdatensatz zugeordnet werden).</w:t>
            </w:r>
          </w:p>
          <w:p w:rsidR="00F606CB" w:rsidRDefault="00F70144" w:rsidP="00F70144">
            <w:pPr>
              <w:rPr>
                <w:lang w:val="de-DE"/>
              </w:rPr>
            </w:pPr>
            <w:r>
              <w:rPr>
                <w:lang w:val="de-DE"/>
              </w:rPr>
              <w:t xml:space="preserve">Jene Präparate, die keine Zubereitungen </w:t>
            </w:r>
            <w:proofErr w:type="spellStart"/>
            <w:r>
              <w:rPr>
                <w:lang w:val="de-DE"/>
              </w:rPr>
              <w:t>iSd</w:t>
            </w:r>
            <w:proofErr w:type="spellEnd"/>
            <w:r>
              <w:rPr>
                <w:lang w:val="de-DE"/>
              </w:rPr>
              <w:t xml:space="preserve"> SMG darstellen (</w:t>
            </w:r>
            <w:proofErr w:type="spellStart"/>
            <w:r>
              <w:rPr>
                <w:lang w:val="de-DE"/>
              </w:rPr>
              <w:t>zB</w:t>
            </w:r>
            <w:proofErr w:type="spellEnd"/>
            <w:r>
              <w:rPr>
                <w:lang w:val="de-DE"/>
              </w:rPr>
              <w:t xml:space="preserve"> Reinsubstanzen in gleicher Form in Verkehr gebracht), sollen weiterhin in Packungen (als „Präparat“) zu melden sein, und werden als „Substanz“ gekennzeichnet.</w:t>
            </w:r>
          </w:p>
          <w:p w:rsidR="00E026D9" w:rsidRDefault="00E026D9" w:rsidP="00F70144">
            <w:pPr>
              <w:rPr>
                <w:lang w:val="de-DE"/>
              </w:rPr>
            </w:pPr>
          </w:p>
        </w:tc>
        <w:tc>
          <w:tcPr>
            <w:tcW w:w="1736" w:type="dxa"/>
          </w:tcPr>
          <w:p w:rsidR="00F606CB" w:rsidRDefault="00F70144" w:rsidP="00344D93">
            <w:pPr>
              <w:rPr>
                <w:lang w:val="de-DE"/>
              </w:rPr>
            </w:pPr>
            <w:r>
              <w:rPr>
                <w:b/>
                <w:color w:val="FF0000"/>
                <w:lang w:val="de-DE"/>
              </w:rPr>
              <w:lastRenderedPageBreak/>
              <w:t>On hold</w:t>
            </w:r>
          </w:p>
        </w:tc>
      </w:tr>
      <w:tr w:rsidR="002034C0" w:rsidRPr="00F606CB" w:rsidTr="00F606CB">
        <w:tc>
          <w:tcPr>
            <w:tcW w:w="509" w:type="dxa"/>
          </w:tcPr>
          <w:p w:rsidR="00F606CB" w:rsidRDefault="00F70144">
            <w:pPr>
              <w:rPr>
                <w:lang w:val="de-DE"/>
              </w:rPr>
            </w:pPr>
            <w:r>
              <w:rPr>
                <w:lang w:val="de-DE"/>
              </w:rPr>
              <w:t>2</w:t>
            </w:r>
          </w:p>
        </w:tc>
        <w:tc>
          <w:tcPr>
            <w:tcW w:w="1586" w:type="dxa"/>
          </w:tcPr>
          <w:p w:rsidR="00F606CB" w:rsidRDefault="00F606CB">
            <w:pPr>
              <w:rPr>
                <w:lang w:val="de-DE"/>
              </w:rPr>
            </w:pPr>
            <w:r>
              <w:rPr>
                <w:lang w:val="de-DE"/>
              </w:rPr>
              <w:t>Stammdaten</w:t>
            </w:r>
          </w:p>
        </w:tc>
        <w:tc>
          <w:tcPr>
            <w:tcW w:w="1996" w:type="dxa"/>
          </w:tcPr>
          <w:p w:rsidR="00F606CB" w:rsidRDefault="00F606CB">
            <w:pPr>
              <w:rPr>
                <w:lang w:val="de-DE"/>
              </w:rPr>
            </w:pPr>
            <w:r>
              <w:rPr>
                <w:lang w:val="de-DE"/>
              </w:rPr>
              <w:t>Substanzen</w:t>
            </w:r>
          </w:p>
        </w:tc>
        <w:tc>
          <w:tcPr>
            <w:tcW w:w="3795" w:type="dxa"/>
          </w:tcPr>
          <w:p w:rsidR="00F606CB" w:rsidRDefault="00F606CB" w:rsidP="00F70144">
            <w:pPr>
              <w:rPr>
                <w:lang w:val="de-DE"/>
              </w:rPr>
            </w:pPr>
            <w:r>
              <w:rPr>
                <w:lang w:val="de-DE"/>
              </w:rPr>
              <w:t>Vollständige Codierung der Substanzen entsprechend der Yellow/Green List des INCB bzw. Übernahme der Codierung des NDS/BM</w:t>
            </w:r>
            <w:r w:rsidR="00F70144">
              <w:rPr>
                <w:lang w:val="de-DE"/>
              </w:rPr>
              <w:t>ASGK</w:t>
            </w:r>
            <w:r>
              <w:rPr>
                <w:lang w:val="de-DE"/>
              </w:rPr>
              <w:t xml:space="preserve"> und vollständige Auflistung der Substanzcodes und Substanzen im Nachweisformular. </w:t>
            </w:r>
          </w:p>
          <w:p w:rsidR="00E026D9" w:rsidRPr="001067AC" w:rsidRDefault="00E026D9" w:rsidP="00F70144">
            <w:pPr>
              <w:rPr>
                <w:lang w:val="de-DE"/>
              </w:rPr>
            </w:pPr>
          </w:p>
        </w:tc>
        <w:tc>
          <w:tcPr>
            <w:tcW w:w="1736" w:type="dxa"/>
          </w:tcPr>
          <w:p w:rsidR="00F606CB" w:rsidRDefault="00F70144" w:rsidP="001067AC">
            <w:pPr>
              <w:rPr>
                <w:lang w:val="de-DE"/>
              </w:rPr>
            </w:pPr>
            <w:r>
              <w:rPr>
                <w:b/>
                <w:color w:val="FF0000"/>
                <w:lang w:val="de-DE"/>
              </w:rPr>
              <w:t>On hold</w:t>
            </w:r>
          </w:p>
        </w:tc>
      </w:tr>
      <w:tr w:rsidR="002034C0" w:rsidRPr="00E026D9" w:rsidTr="00F606CB">
        <w:tc>
          <w:tcPr>
            <w:tcW w:w="509" w:type="dxa"/>
          </w:tcPr>
          <w:p w:rsidR="00F606CB" w:rsidRDefault="00F70144" w:rsidP="0035334D">
            <w:pPr>
              <w:rPr>
                <w:lang w:val="de-DE"/>
              </w:rPr>
            </w:pPr>
            <w:r>
              <w:rPr>
                <w:lang w:val="de-DE"/>
              </w:rPr>
              <w:t>3</w:t>
            </w:r>
          </w:p>
        </w:tc>
        <w:tc>
          <w:tcPr>
            <w:tcW w:w="1586" w:type="dxa"/>
          </w:tcPr>
          <w:p w:rsidR="00F606CB" w:rsidRDefault="00F606CB" w:rsidP="0035334D">
            <w:pPr>
              <w:rPr>
                <w:lang w:val="de-DE"/>
              </w:rPr>
            </w:pPr>
            <w:r>
              <w:rPr>
                <w:lang w:val="de-DE"/>
              </w:rPr>
              <w:t>Stammdaten</w:t>
            </w:r>
          </w:p>
        </w:tc>
        <w:tc>
          <w:tcPr>
            <w:tcW w:w="1996" w:type="dxa"/>
          </w:tcPr>
          <w:p w:rsidR="00F606CB" w:rsidRDefault="00F606CB" w:rsidP="0035334D">
            <w:pPr>
              <w:rPr>
                <w:lang w:val="de-DE"/>
              </w:rPr>
            </w:pPr>
            <w:r>
              <w:rPr>
                <w:lang w:val="de-DE"/>
              </w:rPr>
              <w:t>Detailhandel</w:t>
            </w:r>
          </w:p>
        </w:tc>
        <w:tc>
          <w:tcPr>
            <w:tcW w:w="3795" w:type="dxa"/>
          </w:tcPr>
          <w:p w:rsidR="00F606CB" w:rsidRDefault="00F606CB" w:rsidP="0035334D">
            <w:pPr>
              <w:rPr>
                <w:lang w:val="de-DE"/>
              </w:rPr>
            </w:pPr>
            <w:r>
              <w:rPr>
                <w:lang w:val="de-DE"/>
              </w:rPr>
              <w:t>Codierung der Apotheken mittels Apothekenbetriebscode und Importmöglichkeit der Abgabedaten an Apotheken mittels Apothekenbetriebscode.</w:t>
            </w:r>
          </w:p>
        </w:tc>
        <w:tc>
          <w:tcPr>
            <w:tcW w:w="1736" w:type="dxa"/>
          </w:tcPr>
          <w:p w:rsidR="00F606CB" w:rsidRPr="00F606CB" w:rsidRDefault="002034C0" w:rsidP="002034C0">
            <w:pPr>
              <w:rPr>
                <w:b/>
                <w:lang w:val="de-DE"/>
              </w:rPr>
            </w:pPr>
            <w:r w:rsidRPr="005B6B2C">
              <w:rPr>
                <w:b/>
                <w:color w:val="00B050"/>
                <w:lang w:val="de-DE"/>
              </w:rPr>
              <w:t xml:space="preserve">Umsetzung abgeschlossen </w:t>
            </w:r>
            <w:r>
              <w:rPr>
                <w:b/>
                <w:color w:val="FF0000"/>
                <w:lang w:val="de-DE"/>
              </w:rPr>
              <w:t>(</w:t>
            </w:r>
            <w:r w:rsidR="0056163E">
              <w:rPr>
                <w:b/>
                <w:color w:val="FF0000"/>
                <w:lang w:val="de-DE"/>
              </w:rPr>
              <w:t>verpflichtende Verwendung der Codes</w:t>
            </w:r>
            <w:r>
              <w:rPr>
                <w:b/>
                <w:color w:val="FF0000"/>
                <w:lang w:val="de-DE"/>
              </w:rPr>
              <w:t xml:space="preserve"> ab Berichtsjahr 2018</w:t>
            </w:r>
            <w:r w:rsidR="0056163E">
              <w:rPr>
                <w:b/>
                <w:color w:val="FF0000"/>
                <w:lang w:val="de-DE"/>
              </w:rPr>
              <w:t>)</w:t>
            </w:r>
          </w:p>
        </w:tc>
      </w:tr>
      <w:tr w:rsidR="002034C0" w:rsidRPr="00E026D9" w:rsidTr="00F606CB">
        <w:tc>
          <w:tcPr>
            <w:tcW w:w="509" w:type="dxa"/>
          </w:tcPr>
          <w:p w:rsidR="00F606CB" w:rsidRDefault="00F70144">
            <w:pPr>
              <w:rPr>
                <w:lang w:val="de-DE"/>
              </w:rPr>
            </w:pPr>
            <w:r>
              <w:rPr>
                <w:lang w:val="de-DE"/>
              </w:rPr>
              <w:t>4</w:t>
            </w:r>
          </w:p>
        </w:tc>
        <w:tc>
          <w:tcPr>
            <w:tcW w:w="1586" w:type="dxa"/>
          </w:tcPr>
          <w:p w:rsidR="00F606CB" w:rsidRDefault="00F606CB">
            <w:pPr>
              <w:rPr>
                <w:lang w:val="de-DE"/>
              </w:rPr>
            </w:pPr>
            <w:r>
              <w:rPr>
                <w:lang w:val="de-DE"/>
              </w:rPr>
              <w:t>Meldeformular</w:t>
            </w:r>
          </w:p>
        </w:tc>
        <w:tc>
          <w:tcPr>
            <w:tcW w:w="1996" w:type="dxa"/>
          </w:tcPr>
          <w:p w:rsidR="00F606CB" w:rsidRDefault="00F606CB">
            <w:pPr>
              <w:rPr>
                <w:lang w:val="de-DE"/>
              </w:rPr>
            </w:pPr>
            <w:r>
              <w:rPr>
                <w:lang w:val="de-DE"/>
              </w:rPr>
              <w:t>Detailhandel – Direktbelieferung</w:t>
            </w:r>
          </w:p>
        </w:tc>
        <w:tc>
          <w:tcPr>
            <w:tcW w:w="3795" w:type="dxa"/>
          </w:tcPr>
          <w:p w:rsidR="00F606CB" w:rsidRDefault="00F606CB" w:rsidP="00014E31">
            <w:pPr>
              <w:rPr>
                <w:lang w:val="de-DE"/>
              </w:rPr>
            </w:pPr>
            <w:r>
              <w:rPr>
                <w:lang w:val="de-DE"/>
              </w:rPr>
              <w:t>Ergänzende Spalte: „Direktbelieferung an“</w:t>
            </w:r>
          </w:p>
          <w:p w:rsidR="00F606CB" w:rsidRDefault="00F606CB" w:rsidP="00014E31">
            <w:pPr>
              <w:rPr>
                <w:lang w:val="de-DE"/>
              </w:rPr>
            </w:pPr>
            <w:r>
              <w:rPr>
                <w:lang w:val="de-DE"/>
              </w:rPr>
              <w:t xml:space="preserve">Im Falle der Direktbelieferung ist, sofern der Empfänger nicht eine Apotheke, sondern ein Arzneimittelvorrat in einer Krankenanstalt ist, </w:t>
            </w:r>
            <w:r w:rsidR="00F70144">
              <w:rPr>
                <w:lang w:val="de-DE"/>
              </w:rPr>
              <w:t xml:space="preserve">ergänzend </w:t>
            </w:r>
            <w:r>
              <w:rPr>
                <w:lang w:val="de-DE"/>
              </w:rPr>
              <w:t>der physische Empfänger anzugeben (Name, PLZ).</w:t>
            </w:r>
          </w:p>
          <w:p w:rsidR="00E026D9" w:rsidRDefault="00E026D9" w:rsidP="00014E31">
            <w:pPr>
              <w:rPr>
                <w:lang w:val="de-DE"/>
              </w:rPr>
            </w:pPr>
            <w:bookmarkStart w:id="0" w:name="_GoBack"/>
            <w:bookmarkEnd w:id="0"/>
          </w:p>
        </w:tc>
        <w:tc>
          <w:tcPr>
            <w:tcW w:w="1736" w:type="dxa"/>
          </w:tcPr>
          <w:p w:rsidR="00F606CB" w:rsidRDefault="00F70144" w:rsidP="00344D93">
            <w:pPr>
              <w:rPr>
                <w:lang w:val="de-DE"/>
              </w:rPr>
            </w:pPr>
            <w:r w:rsidRPr="005B6B2C">
              <w:rPr>
                <w:b/>
                <w:color w:val="00B050"/>
                <w:lang w:val="de-DE"/>
              </w:rPr>
              <w:t xml:space="preserve">Umsetzung abgeschlossen </w:t>
            </w:r>
            <w:r>
              <w:rPr>
                <w:b/>
                <w:color w:val="FF0000"/>
                <w:lang w:val="de-DE"/>
              </w:rPr>
              <w:t>(verpflichtende Verwendung der Codes ab Berichtsjahr 2019)</w:t>
            </w:r>
          </w:p>
        </w:tc>
      </w:tr>
    </w:tbl>
    <w:p w:rsidR="00E4076D" w:rsidRPr="00ED6352" w:rsidRDefault="00E4076D" w:rsidP="00ED6352">
      <w:pPr>
        <w:rPr>
          <w:sz w:val="4"/>
          <w:szCs w:val="4"/>
          <w:lang w:val="de-DE"/>
        </w:rPr>
      </w:pPr>
    </w:p>
    <w:sectPr w:rsidR="00E4076D" w:rsidRPr="00ED635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E0D"/>
    <w:multiLevelType w:val="hybridMultilevel"/>
    <w:tmpl w:val="26AE4468"/>
    <w:lvl w:ilvl="0" w:tplc="3C54ED0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A669F"/>
    <w:multiLevelType w:val="hybridMultilevel"/>
    <w:tmpl w:val="5B90F722"/>
    <w:lvl w:ilvl="0" w:tplc="3C54ED0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A0119"/>
    <w:multiLevelType w:val="hybridMultilevel"/>
    <w:tmpl w:val="69A68F02"/>
    <w:lvl w:ilvl="0" w:tplc="3C54ED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72049"/>
    <w:multiLevelType w:val="hybridMultilevel"/>
    <w:tmpl w:val="C6683B38"/>
    <w:lvl w:ilvl="0" w:tplc="3C54ED0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CE27CF"/>
    <w:multiLevelType w:val="hybridMultilevel"/>
    <w:tmpl w:val="F322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F2E5D79"/>
    <w:multiLevelType w:val="hybridMultilevel"/>
    <w:tmpl w:val="6FD22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8D"/>
    <w:rsid w:val="00014E31"/>
    <w:rsid w:val="0005296A"/>
    <w:rsid w:val="000F74E6"/>
    <w:rsid w:val="001067AC"/>
    <w:rsid w:val="00114CA4"/>
    <w:rsid w:val="00172FB7"/>
    <w:rsid w:val="002034C0"/>
    <w:rsid w:val="00292A9A"/>
    <w:rsid w:val="0029528F"/>
    <w:rsid w:val="00344D93"/>
    <w:rsid w:val="00504EC7"/>
    <w:rsid w:val="0050638E"/>
    <w:rsid w:val="0056163E"/>
    <w:rsid w:val="005B6B2C"/>
    <w:rsid w:val="005D0B6F"/>
    <w:rsid w:val="005E08BB"/>
    <w:rsid w:val="00694399"/>
    <w:rsid w:val="006F23F8"/>
    <w:rsid w:val="00865B81"/>
    <w:rsid w:val="009668BA"/>
    <w:rsid w:val="00BC1B8D"/>
    <w:rsid w:val="00C42672"/>
    <w:rsid w:val="00C82D01"/>
    <w:rsid w:val="00D57E8B"/>
    <w:rsid w:val="00DB231A"/>
    <w:rsid w:val="00E026D9"/>
    <w:rsid w:val="00E4076D"/>
    <w:rsid w:val="00ED6352"/>
    <w:rsid w:val="00F606CB"/>
    <w:rsid w:val="00F7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0855"/>
  <w15:docId w15:val="{AFDE5D64-ACC7-4F3C-BEC3-48040B46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40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2D01"/>
    <w:pPr>
      <w:ind w:left="720"/>
      <w:contextualSpacing/>
    </w:pPr>
  </w:style>
  <w:style w:type="character" w:styleId="Hyperlink">
    <w:name w:val="Hyperlink"/>
    <w:basedOn w:val="Absatz-Standardschriftart"/>
    <w:uiPriority w:val="99"/>
    <w:unhideWhenUsed/>
    <w:rsid w:val="0050638E"/>
    <w:rPr>
      <w:color w:val="0000FF" w:themeColor="hyperlink"/>
      <w:u w:val="single"/>
    </w:rPr>
  </w:style>
  <w:style w:type="character" w:styleId="Kommentarzeichen">
    <w:name w:val="annotation reference"/>
    <w:basedOn w:val="Absatz-Standardschriftart"/>
    <w:uiPriority w:val="99"/>
    <w:semiHidden/>
    <w:unhideWhenUsed/>
    <w:rsid w:val="00D57E8B"/>
    <w:rPr>
      <w:sz w:val="16"/>
      <w:szCs w:val="16"/>
    </w:rPr>
  </w:style>
  <w:style w:type="paragraph" w:styleId="Kommentartext">
    <w:name w:val="annotation text"/>
    <w:basedOn w:val="Standard"/>
    <w:link w:val="KommentartextZchn"/>
    <w:uiPriority w:val="99"/>
    <w:semiHidden/>
    <w:unhideWhenUsed/>
    <w:rsid w:val="00D57E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7E8B"/>
    <w:rPr>
      <w:sz w:val="20"/>
      <w:szCs w:val="20"/>
    </w:rPr>
  </w:style>
  <w:style w:type="paragraph" w:styleId="Kommentarthema">
    <w:name w:val="annotation subject"/>
    <w:basedOn w:val="Kommentartext"/>
    <w:next w:val="Kommentartext"/>
    <w:link w:val="KommentarthemaZchn"/>
    <w:uiPriority w:val="99"/>
    <w:semiHidden/>
    <w:unhideWhenUsed/>
    <w:rsid w:val="00D57E8B"/>
    <w:rPr>
      <w:b/>
      <w:bCs/>
    </w:rPr>
  </w:style>
  <w:style w:type="character" w:customStyle="1" w:styleId="KommentarthemaZchn">
    <w:name w:val="Kommentarthema Zchn"/>
    <w:basedOn w:val="KommentartextZchn"/>
    <w:link w:val="Kommentarthema"/>
    <w:uiPriority w:val="99"/>
    <w:semiHidden/>
    <w:rsid w:val="00D57E8B"/>
    <w:rPr>
      <w:b/>
      <w:bCs/>
      <w:sz w:val="20"/>
      <w:szCs w:val="20"/>
    </w:rPr>
  </w:style>
  <w:style w:type="paragraph" w:styleId="Sprechblasentext">
    <w:name w:val="Balloon Text"/>
    <w:basedOn w:val="Standard"/>
    <w:link w:val="SprechblasentextZchn"/>
    <w:uiPriority w:val="99"/>
    <w:semiHidden/>
    <w:unhideWhenUsed/>
    <w:rsid w:val="00D57E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htmittel@basg.gv.at" TargetMode="External"/><Relationship Id="rId3" Type="http://schemas.openxmlformats.org/officeDocument/2006/relationships/styles" Target="styles.xml"/><Relationship Id="rId7" Type="http://schemas.openxmlformats.org/officeDocument/2006/relationships/hyperlink" Target="https://www.ris.bka.gv.at/Dokumente/BgblPdf/1997_375_2/1997_375_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s.bka.gv.at/Dokumente/BgblPdf/1997_374_2/1997_374_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658E-1DB0-401E-B478-155C8893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AGES GmbH</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Ungersbäck</dc:creator>
  <cp:lastModifiedBy>Ungersbäck Andrea</cp:lastModifiedBy>
  <cp:revision>16</cp:revision>
  <dcterms:created xsi:type="dcterms:W3CDTF">2017-05-03T08:17:00Z</dcterms:created>
  <dcterms:modified xsi:type="dcterms:W3CDTF">2018-12-05T13:47:00Z</dcterms:modified>
</cp:coreProperties>
</file>